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752482">
        <w:rPr>
          <w:b/>
        </w:rPr>
        <w:t>89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752482">
        <w:rPr>
          <w:color w:val="000000" w:themeColor="text1"/>
          <w:sz w:val="22"/>
          <w:szCs w:val="22"/>
        </w:rPr>
        <w:t>ФГУП Центр «Звездный»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752482">
        <w:rPr>
          <w:sz w:val="22"/>
          <w:szCs w:val="22"/>
        </w:rPr>
        <w:t>128</w:t>
      </w:r>
      <w:r w:rsidR="009C2BCF">
        <w:rPr>
          <w:sz w:val="22"/>
          <w:szCs w:val="22"/>
        </w:rPr>
        <w:t xml:space="preserve"> с/к от 3</w:t>
      </w:r>
      <w:r w:rsidR="00361C6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752482">
        <w:rPr>
          <w:color w:val="000000" w:themeColor="text1"/>
          <w:sz w:val="22"/>
          <w:szCs w:val="22"/>
        </w:rPr>
        <w:t>ФГУП Центр «Звездный»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752482">
        <w:rPr>
          <w:color w:val="000000" w:themeColor="text1"/>
          <w:sz w:val="22"/>
          <w:szCs w:val="22"/>
        </w:rPr>
        <w:t>89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361C6C">
        <w:rPr>
          <w:color w:val="000000" w:themeColor="text1"/>
          <w:sz w:val="22"/>
          <w:szCs w:val="22"/>
        </w:rPr>
        <w:t>12.12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752482">
        <w:rPr>
          <w:color w:val="000000" w:themeColor="text1"/>
          <w:sz w:val="22"/>
          <w:szCs w:val="22"/>
        </w:rPr>
        <w:t>20</w:t>
      </w:r>
      <w:r w:rsidR="00361C6C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52482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93AF3"/>
    <w:rsid w:val="00FE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27</cp:revision>
  <cp:lastPrinted>2017-11-21T07:30:00Z</cp:lastPrinted>
  <dcterms:created xsi:type="dcterms:W3CDTF">2017-10-27T08:52:00Z</dcterms:created>
  <dcterms:modified xsi:type="dcterms:W3CDTF">2017-12-14T11:58:00Z</dcterms:modified>
</cp:coreProperties>
</file>